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B6C1A" w14:textId="143DDA81" w:rsidR="00267546" w:rsidRPr="00267546" w:rsidRDefault="00267546" w:rsidP="00477C9C">
      <w:pPr>
        <w:spacing w:line="360" w:lineRule="auto"/>
        <w:ind w:left="-426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6EA854D1" w14:textId="77777777" w:rsidR="00331590" w:rsidRPr="00331590" w:rsidRDefault="00331590" w:rsidP="00267546">
      <w:pPr>
        <w:spacing w:line="360" w:lineRule="auto"/>
        <w:rPr>
          <w:rFonts w:ascii="Arial" w:hAnsi="Arial" w:cs="Arial"/>
          <w:b/>
        </w:rPr>
      </w:pPr>
      <w:r w:rsidRPr="00331590">
        <w:rPr>
          <w:rFonts w:ascii="Arial" w:hAnsi="Arial" w:cs="Arial"/>
          <w:b/>
        </w:rPr>
        <w:t>QUESTÕES DE ÉTICA</w:t>
      </w:r>
    </w:p>
    <w:p w14:paraId="56F48534" w14:textId="3996F100" w:rsidR="00267546" w:rsidRPr="00267546" w:rsidRDefault="00267546" w:rsidP="00267546">
      <w:pPr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  <w:r w:rsidRPr="00267546">
        <w:rPr>
          <w:rFonts w:ascii="Arial" w:eastAsia="Times New Roman" w:hAnsi="Arial" w:cs="Arial"/>
          <w:sz w:val="22"/>
          <w:szCs w:val="22"/>
          <w:lang w:eastAsia="pt-BR"/>
        </w:rPr>
        <w:t>Prof.</w:t>
      </w:r>
      <w:r w:rsidR="00331590">
        <w:rPr>
          <w:rFonts w:ascii="Arial" w:eastAsia="Times New Roman" w:hAnsi="Arial" w:cs="Arial"/>
          <w:sz w:val="22"/>
          <w:szCs w:val="22"/>
          <w:lang w:eastAsia="pt-BR"/>
        </w:rPr>
        <w:t>ª</w:t>
      </w:r>
      <w:r w:rsidRPr="00267546">
        <w:rPr>
          <w:rFonts w:ascii="Arial" w:eastAsia="Times New Roman" w:hAnsi="Arial" w:cs="Arial"/>
          <w:sz w:val="22"/>
          <w:szCs w:val="22"/>
          <w:lang w:eastAsia="pt-BR"/>
        </w:rPr>
        <w:t xml:space="preserve"> Dr.</w:t>
      </w:r>
      <w:r w:rsidR="00331590">
        <w:rPr>
          <w:rFonts w:ascii="Arial" w:eastAsia="Times New Roman" w:hAnsi="Arial" w:cs="Arial"/>
          <w:sz w:val="22"/>
          <w:szCs w:val="22"/>
          <w:lang w:eastAsia="pt-BR"/>
        </w:rPr>
        <w:t>ª Cristiane Negreiros Abbud Ayoub</w:t>
      </w:r>
    </w:p>
    <w:p w14:paraId="1149D78A" w14:textId="30298C0A" w:rsidR="00267546" w:rsidRPr="00267546" w:rsidRDefault="00331590" w:rsidP="00267546">
      <w:pPr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1</w:t>
      </w:r>
      <w:r w:rsidR="00267546" w:rsidRPr="00267546">
        <w:rPr>
          <w:rFonts w:ascii="Arial" w:eastAsia="Times New Roman" w:hAnsi="Arial" w:cs="Arial"/>
          <w:sz w:val="22"/>
          <w:szCs w:val="22"/>
          <w:lang w:eastAsia="pt-BR"/>
        </w:rPr>
        <w:t>º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quadrimestre de 2023</w:t>
      </w:r>
    </w:p>
    <w:p w14:paraId="73AB0F51" w14:textId="3242FE38" w:rsidR="00267546" w:rsidRPr="00267546" w:rsidRDefault="00267546" w:rsidP="00267546">
      <w:pPr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  <w:r w:rsidRPr="00267546">
        <w:rPr>
          <w:rFonts w:ascii="Arial" w:eastAsia="Times New Roman" w:hAnsi="Arial" w:cs="Arial"/>
          <w:sz w:val="22"/>
          <w:szCs w:val="22"/>
          <w:lang w:eastAsia="pt-BR"/>
        </w:rPr>
        <w:t xml:space="preserve">Datas e horários: </w:t>
      </w:r>
      <w:r w:rsidR="00796A4E">
        <w:rPr>
          <w:rFonts w:ascii="Arial" w:eastAsia="Times New Roman" w:hAnsi="Arial" w:cs="Arial"/>
          <w:sz w:val="22"/>
          <w:szCs w:val="22"/>
          <w:highlight w:val="lightGray"/>
          <w:lang w:eastAsia="pt-BR"/>
        </w:rPr>
        <w:t>2</w:t>
      </w:r>
      <w:r w:rsidRPr="00267546">
        <w:rPr>
          <w:rFonts w:ascii="Arial" w:eastAsia="Times New Roman" w:hAnsi="Arial" w:cs="Arial"/>
          <w:sz w:val="22"/>
          <w:szCs w:val="22"/>
          <w:highlight w:val="lightGray"/>
          <w:lang w:eastAsia="pt-BR"/>
        </w:rPr>
        <w:t xml:space="preserve">as. feiras das </w:t>
      </w:r>
      <w:r w:rsidR="00331590">
        <w:rPr>
          <w:rFonts w:ascii="Arial" w:eastAsia="Times New Roman" w:hAnsi="Arial" w:cs="Arial"/>
          <w:sz w:val="22"/>
          <w:szCs w:val="22"/>
          <w:highlight w:val="lightGray"/>
          <w:lang w:eastAsia="pt-BR"/>
        </w:rPr>
        <w:t>10</w:t>
      </w:r>
      <w:r w:rsidRPr="00267546">
        <w:rPr>
          <w:rFonts w:ascii="Arial" w:eastAsia="Times New Roman" w:hAnsi="Arial" w:cs="Arial"/>
          <w:sz w:val="22"/>
          <w:szCs w:val="22"/>
          <w:highlight w:val="lightGray"/>
          <w:lang w:eastAsia="pt-BR"/>
        </w:rPr>
        <w:t>h00 às 1</w:t>
      </w:r>
      <w:r w:rsidR="00331590">
        <w:rPr>
          <w:rFonts w:ascii="Arial" w:eastAsia="Times New Roman" w:hAnsi="Arial" w:cs="Arial"/>
          <w:sz w:val="22"/>
          <w:szCs w:val="22"/>
          <w:highlight w:val="lightGray"/>
          <w:lang w:eastAsia="pt-BR"/>
        </w:rPr>
        <w:t>2</w:t>
      </w:r>
      <w:r w:rsidRPr="00267546">
        <w:rPr>
          <w:rFonts w:ascii="Arial" w:eastAsia="Times New Roman" w:hAnsi="Arial" w:cs="Arial"/>
          <w:sz w:val="22"/>
          <w:szCs w:val="22"/>
          <w:highlight w:val="lightGray"/>
          <w:lang w:eastAsia="pt-BR"/>
        </w:rPr>
        <w:t xml:space="preserve">h00, </w:t>
      </w:r>
      <w:r w:rsidR="00331590">
        <w:rPr>
          <w:rFonts w:ascii="Arial" w:eastAsia="Times New Roman" w:hAnsi="Arial" w:cs="Arial"/>
          <w:sz w:val="22"/>
          <w:szCs w:val="22"/>
          <w:highlight w:val="lightGray"/>
          <w:lang w:eastAsia="pt-BR"/>
        </w:rPr>
        <w:t>5</w:t>
      </w:r>
      <w:r w:rsidRPr="00267546">
        <w:rPr>
          <w:rFonts w:ascii="Arial" w:eastAsia="Times New Roman" w:hAnsi="Arial" w:cs="Arial"/>
          <w:sz w:val="22"/>
          <w:szCs w:val="22"/>
          <w:highlight w:val="lightGray"/>
          <w:lang w:eastAsia="pt-BR"/>
        </w:rPr>
        <w:t>as. feiras das 10h00 às 12h00</w:t>
      </w:r>
    </w:p>
    <w:p w14:paraId="7B5352DC" w14:textId="469EC366" w:rsidR="00267546" w:rsidRPr="00267546" w:rsidRDefault="00267546" w:rsidP="00267546">
      <w:pPr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76159AB" w14:textId="160EC013" w:rsidR="00267546" w:rsidRPr="00267546" w:rsidRDefault="00267546" w:rsidP="00267546">
      <w:pPr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EEB5598" w14:textId="353F8701" w:rsidR="00267546" w:rsidRPr="00267546" w:rsidRDefault="00267546" w:rsidP="00267546">
      <w:pPr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695BDDF" w14:textId="5A9DF31A" w:rsidR="00267546" w:rsidRPr="00267546" w:rsidRDefault="00267546" w:rsidP="00267546">
      <w:pPr>
        <w:pStyle w:val="PargrafodaLista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267546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OBJETIVOS</w:t>
      </w:r>
    </w:p>
    <w:p w14:paraId="3ACCEC4A" w14:textId="5CF4309F" w:rsidR="00267546" w:rsidRPr="00267546" w:rsidRDefault="00331590" w:rsidP="00267546">
      <w:pPr>
        <w:pStyle w:val="PargrafodaLista"/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  <w:r>
        <w:t>A disciplina visa apresentar e elucidar a área temática da Ética por meio de criteriosa análise conceitual das ideias e problemas filosóficos abaixo discriminados.</w:t>
      </w:r>
    </w:p>
    <w:p w14:paraId="093D2B26" w14:textId="77777777" w:rsidR="00267546" w:rsidRPr="00267546" w:rsidRDefault="00267546" w:rsidP="00267546">
      <w:pPr>
        <w:pStyle w:val="PargrafodaLista"/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D9ACC86" w14:textId="4F815489" w:rsidR="00267546" w:rsidRPr="00267546" w:rsidRDefault="00267546" w:rsidP="00267546">
      <w:pPr>
        <w:pStyle w:val="PargrafodaLista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267546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CONTEÚDO</w:t>
      </w:r>
    </w:p>
    <w:p w14:paraId="64703BC4" w14:textId="1A0A2DF7" w:rsidR="00267546" w:rsidRDefault="00FF5C7A" w:rsidP="00267546">
      <w:pPr>
        <w:spacing w:line="360" w:lineRule="auto"/>
        <w:ind w:left="708"/>
        <w:rPr>
          <w:rFonts w:ascii="Calibri" w:hAnsi="Calibri" w:cs="Calibri"/>
          <w:color w:val="000000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O curso estudará </w:t>
      </w:r>
      <w:r w:rsidR="00E35500">
        <w:rPr>
          <w:rFonts w:ascii="Arial" w:eastAsia="Times New Roman" w:hAnsi="Arial" w:cs="Arial"/>
          <w:sz w:val="22"/>
          <w:szCs w:val="22"/>
          <w:lang w:eastAsia="pt-BR"/>
        </w:rPr>
        <w:t xml:space="preserve">a virtude da </w:t>
      </w:r>
      <w:r w:rsidR="00E35500" w:rsidRPr="00E35500">
        <w:rPr>
          <w:rFonts w:ascii="Arial" w:eastAsia="Times New Roman" w:hAnsi="Arial" w:cs="Arial"/>
          <w:i/>
          <w:sz w:val="22"/>
          <w:szCs w:val="22"/>
          <w:lang w:eastAsia="pt-BR"/>
        </w:rPr>
        <w:t>pudicitia</w:t>
      </w:r>
      <w:r w:rsidR="003C394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t-BR"/>
        </w:rPr>
        <w:t>na Roma Antiga</w:t>
      </w:r>
      <w:r w:rsidR="003C3949">
        <w:rPr>
          <w:rFonts w:ascii="Arial" w:eastAsia="Times New Roman" w:hAnsi="Arial" w:cs="Arial"/>
          <w:sz w:val="22"/>
          <w:szCs w:val="22"/>
          <w:lang w:eastAsia="pt-BR"/>
        </w:rPr>
        <w:t xml:space="preserve"> e Tardo-Antiga e sua centralidade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no Brasil Colônia. </w:t>
      </w:r>
      <w:r w:rsidR="007308F0">
        <w:rPr>
          <w:rFonts w:ascii="Arial" w:eastAsia="Times New Roman" w:hAnsi="Arial" w:cs="Arial"/>
          <w:sz w:val="22"/>
          <w:szCs w:val="22"/>
          <w:lang w:eastAsia="pt-BR"/>
        </w:rPr>
        <w:t>N</w:t>
      </w:r>
      <w:r w:rsidR="003C3949">
        <w:rPr>
          <w:rFonts w:ascii="Arial" w:eastAsia="Times New Roman" w:hAnsi="Arial" w:cs="Arial"/>
          <w:sz w:val="22"/>
          <w:szCs w:val="22"/>
          <w:lang w:eastAsia="pt-BR"/>
        </w:rPr>
        <w:t>essas três épocas, o estudo d</w:t>
      </w:r>
      <w:r w:rsidR="003C3949">
        <w:rPr>
          <w:rFonts w:ascii="Calibri" w:hAnsi="Calibri" w:cs="Calibri"/>
          <w:color w:val="000000"/>
          <w:shd w:val="clear" w:color="auto" w:fill="FFFFFF"/>
        </w:rPr>
        <w:t xml:space="preserve">a pudicícia é uma via para abordar a </w:t>
      </w:r>
      <w:r w:rsidR="007308F0">
        <w:rPr>
          <w:rFonts w:ascii="Calibri" w:hAnsi="Calibri" w:cs="Calibri"/>
          <w:color w:val="000000"/>
          <w:shd w:val="clear" w:color="auto" w:fill="FFFFFF"/>
        </w:rPr>
        <w:t xml:space="preserve">Ética relacionada aos papeis de gênero, tanto no âmbito privado como no público. </w:t>
      </w:r>
      <w:r w:rsidR="003C3949">
        <w:rPr>
          <w:rFonts w:ascii="Calibri" w:hAnsi="Calibri" w:cs="Calibri"/>
          <w:color w:val="000000"/>
        </w:rPr>
        <w:t xml:space="preserve">Os </w:t>
      </w:r>
      <w:r w:rsidR="003C3949">
        <w:rPr>
          <w:rFonts w:ascii="Calibri" w:hAnsi="Calibri" w:cs="Calibri"/>
          <w:i/>
          <w:iCs/>
          <w:color w:val="000000"/>
        </w:rPr>
        <w:t xml:space="preserve">mores </w:t>
      </w:r>
      <w:r w:rsidR="003C3949">
        <w:rPr>
          <w:rFonts w:ascii="Calibri" w:hAnsi="Calibri" w:cs="Calibri"/>
          <w:color w:val="000000"/>
        </w:rPr>
        <w:t xml:space="preserve">(a moral e os costumes) referentes à pudicícia dos habitantes eram demonstrados, regulados e internalizados de várias maneiras: por deuses, pela diferença de papéis sociais entre romanas e romanos, por uma ética referente ao corpo e à alma, pela avaliação moral por parte da sociedade, pela demonstração do sentimento de pudor, </w:t>
      </w:r>
      <w:r w:rsidR="007308F0">
        <w:rPr>
          <w:rFonts w:ascii="Calibri" w:hAnsi="Calibri" w:cs="Calibri"/>
          <w:color w:val="000000"/>
        </w:rPr>
        <w:t xml:space="preserve">por vestimentas e gestos, pelos espaços ocupados, </w:t>
      </w:r>
      <w:r w:rsidR="003C3949">
        <w:rPr>
          <w:rFonts w:ascii="Calibri" w:hAnsi="Calibri" w:cs="Calibri"/>
          <w:color w:val="000000"/>
        </w:rPr>
        <w:t>por leis, pela tradição exemplar e por modelos textuais (LANGLANDS, 2006, p. 17).</w:t>
      </w:r>
      <w:r w:rsidR="0016021A">
        <w:rPr>
          <w:rFonts w:ascii="Calibri" w:hAnsi="Calibri" w:cs="Calibri"/>
          <w:color w:val="000000"/>
        </w:rPr>
        <w:t xml:space="preserve"> </w:t>
      </w:r>
    </w:p>
    <w:p w14:paraId="1C4D2DC8" w14:textId="3DF2BCCD" w:rsidR="00267546" w:rsidRPr="0016021A" w:rsidRDefault="00E35500" w:rsidP="0016021A">
      <w:pPr>
        <w:spacing w:line="360" w:lineRule="auto"/>
        <w:ind w:left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O termo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E35500">
        <w:rPr>
          <w:rFonts w:ascii="Arial" w:eastAsia="Times New Roman" w:hAnsi="Arial" w:cs="Arial"/>
          <w:i/>
          <w:sz w:val="22"/>
          <w:szCs w:val="22"/>
          <w:lang w:eastAsia="pt-BR"/>
        </w:rPr>
        <w:t>pudicitia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refere-se à excelência moral, principalmente à feminina, e </w:t>
      </w:r>
      <w:r>
        <w:rPr>
          <w:rFonts w:ascii="Arial" w:eastAsia="Times New Roman" w:hAnsi="Arial" w:cs="Arial"/>
          <w:sz w:val="22"/>
          <w:szCs w:val="22"/>
          <w:lang w:eastAsia="pt-BR"/>
        </w:rPr>
        <w:t>é associado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t-BR"/>
        </w:rPr>
        <w:t>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noções de honra, pudor, recado, vergonha.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Impondo uma série de condutas, essa “virtude” era considerada o fundamento das demais virtudes femininas</w:t>
      </w:r>
      <w:r w:rsidR="0016021A">
        <w:rPr>
          <w:rFonts w:ascii="Arial" w:eastAsia="Times New Roman" w:hAnsi="Arial" w:cs="Arial"/>
          <w:sz w:val="22"/>
          <w:szCs w:val="22"/>
          <w:lang w:eastAsia="pt-BR"/>
        </w:rPr>
        <w:t xml:space="preserve">. </w:t>
      </w:r>
      <w:r w:rsidR="0016021A">
        <w:rPr>
          <w:rFonts w:ascii="Calibri" w:hAnsi="Calibri" w:cs="Calibri"/>
          <w:color w:val="000000"/>
        </w:rPr>
        <w:t>As dinâmicas e estruturas embasadas ne Ética da pudicícia são francamente limitantes e violentas com as mulheres.</w:t>
      </w:r>
    </w:p>
    <w:p w14:paraId="4CED89D2" w14:textId="3ED6AE67" w:rsidR="00267546" w:rsidRPr="00267546" w:rsidRDefault="00267546" w:rsidP="00267546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0C478448" w14:textId="32DCB95E" w:rsidR="00267546" w:rsidRPr="00267546" w:rsidRDefault="00267546" w:rsidP="00267546">
      <w:pPr>
        <w:pStyle w:val="PargrafodaLista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267546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MÉTODO</w:t>
      </w:r>
    </w:p>
    <w:p w14:paraId="1D0A46F0" w14:textId="7091B105" w:rsidR="00267546" w:rsidRDefault="0016021A" w:rsidP="00267546">
      <w:pPr>
        <w:spacing w:line="360" w:lineRule="auto"/>
        <w:ind w:firstLine="708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Aulas dialogadas, leitura textual, seminários dialogados de leitura, formalização do curso em uma dissertação ou em um ensaio. </w:t>
      </w:r>
    </w:p>
    <w:p w14:paraId="193009E2" w14:textId="62F7DD05" w:rsidR="00267546" w:rsidRDefault="00267546" w:rsidP="00267546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59E6F250" w14:textId="77777777" w:rsidR="00267546" w:rsidRPr="00267546" w:rsidRDefault="00267546" w:rsidP="00267546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7D0E34A2" w14:textId="2FECD061" w:rsidR="00267546" w:rsidRPr="00267546" w:rsidRDefault="00267546" w:rsidP="00267546">
      <w:pPr>
        <w:pStyle w:val="PargrafodaLista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267546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CRONOGRAMA</w:t>
      </w:r>
    </w:p>
    <w:p w14:paraId="77B754F4" w14:textId="04E562FB" w:rsidR="00267546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lastRenderedPageBreak/>
        <w:t>1ª semana:</w:t>
      </w:r>
    </w:p>
    <w:p w14:paraId="3358E93A" w14:textId="3FD3DEEE" w:rsidR="00546F5B" w:rsidRDefault="00546F5B" w:rsidP="00546F5B">
      <w:pPr>
        <w:spacing w:line="360" w:lineRule="auto"/>
        <w:ind w:left="708"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- apresentação do curso;</w:t>
      </w:r>
    </w:p>
    <w:p w14:paraId="3E1C39C6" w14:textId="120DAB33" w:rsidR="00E8619B" w:rsidRDefault="00E8619B" w:rsidP="00D51BF0">
      <w:pPr>
        <w:spacing w:line="360" w:lineRule="auto"/>
        <w:ind w:left="1416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- discussão inicial sobre quais temas e filósofos são tradicionalmente abordados no campo da Ética e quais são solenemente ignorados;</w:t>
      </w:r>
    </w:p>
    <w:p w14:paraId="316D755B" w14:textId="4E391B00" w:rsidR="00E8619B" w:rsidRDefault="00E8619B" w:rsidP="00546F5B">
      <w:pPr>
        <w:spacing w:line="360" w:lineRule="auto"/>
        <w:ind w:left="708"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- </w:t>
      </w:r>
      <w:r w:rsidR="00D51BF0">
        <w:rPr>
          <w:rFonts w:ascii="Arial" w:eastAsia="Times New Roman" w:hAnsi="Arial" w:cs="Arial"/>
          <w:sz w:val="22"/>
          <w:szCs w:val="22"/>
          <w:lang w:eastAsia="pt-BR"/>
        </w:rPr>
        <w:t>pautas reivindicadas pela é</w:t>
      </w:r>
      <w:r>
        <w:rPr>
          <w:rFonts w:ascii="Arial" w:eastAsia="Times New Roman" w:hAnsi="Arial" w:cs="Arial"/>
          <w:sz w:val="22"/>
          <w:szCs w:val="22"/>
          <w:lang w:eastAsia="pt-BR"/>
        </w:rPr>
        <w:t>tica feminista</w:t>
      </w:r>
      <w:r w:rsidR="00D51BF0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310B34FE" w14:textId="77777777" w:rsidR="00D51BF0" w:rsidRDefault="00D51BF0" w:rsidP="00546F5B">
      <w:pPr>
        <w:spacing w:line="360" w:lineRule="auto"/>
        <w:ind w:left="708" w:firstLine="708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A6C245B" w14:textId="4533F662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2ª semana:</w:t>
      </w:r>
    </w:p>
    <w:p w14:paraId="5CFCA992" w14:textId="23006D28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  <w:t>- como se elabora um seminário e escala de seminários de leitura;</w:t>
      </w:r>
    </w:p>
    <w:p w14:paraId="62685ABD" w14:textId="2FB8D17C" w:rsidR="001679B0" w:rsidRDefault="001679B0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  <w:t>- estudo sobre a vergonha e o pudor em autores romanos (Kaster);</w:t>
      </w:r>
    </w:p>
    <w:p w14:paraId="74602DD6" w14:textId="60493E36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3ª semana</w:t>
      </w:r>
    </w:p>
    <w:p w14:paraId="74E49859" w14:textId="46EE3D08" w:rsidR="001679B0" w:rsidRDefault="001679B0" w:rsidP="001679B0">
      <w:pPr>
        <w:spacing w:line="360" w:lineRule="auto"/>
        <w:ind w:left="1416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- Estudo sobre a pudicícia na Roma Antiga (Rebecca Langlands) – parte I: Direito Romano, Tito Lívio, Valério Máximo, Sêneca;</w:t>
      </w:r>
    </w:p>
    <w:p w14:paraId="6143162D" w14:textId="15916C1E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4ª semana</w:t>
      </w:r>
    </w:p>
    <w:p w14:paraId="5DF52771" w14:textId="6CC905A6" w:rsidR="001679B0" w:rsidRDefault="001679B0" w:rsidP="001679B0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  <w:t>- estudo sobre a pudicícia na Roma Antiga (Rebecca Langlands) – parte II: Cícero</w:t>
      </w:r>
    </w:p>
    <w:p w14:paraId="06ED702D" w14:textId="77777777" w:rsidR="001679B0" w:rsidRDefault="001679B0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8072A47" w14:textId="20F703A1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5ª semana</w:t>
      </w:r>
    </w:p>
    <w:p w14:paraId="2DD029CA" w14:textId="77777777" w:rsidR="001679B0" w:rsidRDefault="001679B0" w:rsidP="001679B0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  <w:t xml:space="preserve">- estudo sobre o pudor (vergonha) em Agostinho de Hipona: Agostinho contra Tito </w:t>
      </w:r>
    </w:p>
    <w:p w14:paraId="6AA83BED" w14:textId="25E00174" w:rsidR="001679B0" w:rsidRDefault="001679B0" w:rsidP="001679B0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  <w:t>Lívio</w:t>
      </w:r>
    </w:p>
    <w:p w14:paraId="3F52E858" w14:textId="77777777" w:rsidR="001679B0" w:rsidRDefault="001679B0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33D233A" w14:textId="530FE9A2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6ª semana</w:t>
      </w:r>
    </w:p>
    <w:p w14:paraId="2482D354" w14:textId="72A07EDA" w:rsidR="001679B0" w:rsidRDefault="001679B0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  <w:t>- as paixões em Agostinho de Hipona</w:t>
      </w:r>
    </w:p>
    <w:p w14:paraId="6166CCA7" w14:textId="77777777" w:rsidR="0016021A" w:rsidRDefault="0016021A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C53827E" w14:textId="0D357283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7ª semana</w:t>
      </w:r>
    </w:p>
    <w:p w14:paraId="74BD8841" w14:textId="77777777" w:rsidR="0016021A" w:rsidRDefault="0016021A" w:rsidP="001679B0">
      <w:pPr>
        <w:spacing w:line="360" w:lineRule="auto"/>
        <w:ind w:left="708"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- as paixões em Agostinho de Hipona;</w:t>
      </w:r>
    </w:p>
    <w:p w14:paraId="3DD3B296" w14:textId="26212A77" w:rsidR="00D51BF0" w:rsidRDefault="00D51BF0" w:rsidP="001679B0">
      <w:pPr>
        <w:spacing w:line="360" w:lineRule="auto"/>
        <w:ind w:left="708"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- escolha do estilo textual da segunda avaliação do curso: dissertação ou ensaio;</w:t>
      </w:r>
    </w:p>
    <w:p w14:paraId="46585A84" w14:textId="77777777" w:rsidR="00D51BF0" w:rsidRDefault="00D51BF0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E734705" w14:textId="4246A4B8" w:rsidR="0016021A" w:rsidRDefault="00546F5B" w:rsidP="00AD207B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8ª semana</w:t>
      </w:r>
    </w:p>
    <w:p w14:paraId="026C6DA7" w14:textId="77777777" w:rsidR="00AD207B" w:rsidRDefault="00AD207B" w:rsidP="00AD207B">
      <w:pPr>
        <w:spacing w:line="360" w:lineRule="auto"/>
        <w:ind w:left="708"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- as paixões em Agostinho de Hipona;</w:t>
      </w:r>
    </w:p>
    <w:p w14:paraId="2B29ECC1" w14:textId="77777777" w:rsidR="00AD207B" w:rsidRDefault="00AD207B" w:rsidP="00AD207B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AF20571" w14:textId="7F5D3A31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9ª semana</w:t>
      </w:r>
    </w:p>
    <w:p w14:paraId="085CE2BE" w14:textId="77777777" w:rsidR="0016021A" w:rsidRDefault="0016021A" w:rsidP="0016021A">
      <w:pPr>
        <w:spacing w:line="360" w:lineRule="auto"/>
        <w:ind w:left="708"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- a honra e a pudicícia no Brasil colonial</w:t>
      </w:r>
    </w:p>
    <w:p w14:paraId="368E5ACB" w14:textId="309E313E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  <w:t xml:space="preserve">- </w:t>
      </w:r>
      <w:r w:rsidR="00E8619B">
        <w:rPr>
          <w:rFonts w:ascii="Arial" w:eastAsia="Times New Roman" w:hAnsi="Arial" w:cs="Arial"/>
          <w:sz w:val="22"/>
          <w:szCs w:val="22"/>
          <w:lang w:eastAsia="pt-BR"/>
        </w:rPr>
        <w:t xml:space="preserve">primeira entrega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da </w:t>
      </w:r>
      <w:r w:rsidR="00E8619B">
        <w:rPr>
          <w:rFonts w:ascii="Arial" w:eastAsia="Times New Roman" w:hAnsi="Arial" w:cs="Arial"/>
          <w:sz w:val="22"/>
          <w:szCs w:val="22"/>
          <w:lang w:eastAsia="pt-BR"/>
        </w:rPr>
        <w:t>dissertação ou do ensaio</w:t>
      </w:r>
    </w:p>
    <w:p w14:paraId="086E3E68" w14:textId="77777777" w:rsidR="0016021A" w:rsidRDefault="0016021A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6A160E5" w14:textId="422051B3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10ª semana</w:t>
      </w:r>
    </w:p>
    <w:p w14:paraId="0409D648" w14:textId="77777777" w:rsidR="0016021A" w:rsidRDefault="0016021A" w:rsidP="0016021A">
      <w:pPr>
        <w:spacing w:line="360" w:lineRule="auto"/>
        <w:ind w:left="708"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- a honra e a pudicícia no Brasil colonial</w:t>
      </w:r>
    </w:p>
    <w:p w14:paraId="1C65AF7C" w14:textId="77777777" w:rsidR="0016021A" w:rsidRDefault="0016021A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CEB20D5" w14:textId="0BC2A0F8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11ª semana</w:t>
      </w:r>
    </w:p>
    <w:p w14:paraId="67050D04" w14:textId="404C3785" w:rsidR="0016021A" w:rsidRDefault="0016021A" w:rsidP="0016021A">
      <w:pPr>
        <w:spacing w:line="360" w:lineRule="auto"/>
        <w:ind w:left="708"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- a honra e a pudicícia no Brasil colonial</w:t>
      </w:r>
    </w:p>
    <w:p w14:paraId="44A604C3" w14:textId="2A7D7048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  <w:t>- devolutiva da avaliação com comentários sobre o que precisa ser melhorado</w:t>
      </w:r>
    </w:p>
    <w:p w14:paraId="46FABE5C" w14:textId="77777777" w:rsidR="0016021A" w:rsidRDefault="0016021A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738BB36" w14:textId="2BAF4E57" w:rsidR="00546F5B" w:rsidRDefault="00546F5B" w:rsidP="00267546">
      <w:pPr>
        <w:spacing w:line="360" w:lineRule="auto"/>
        <w:ind w:firstLine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12ª semana</w:t>
      </w:r>
    </w:p>
    <w:p w14:paraId="4B619F34" w14:textId="14B7425D" w:rsidR="0016021A" w:rsidRDefault="0016021A" w:rsidP="00AD207B">
      <w:pPr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</w:r>
      <w:r>
        <w:rPr>
          <w:rFonts w:ascii="Arial" w:eastAsia="Times New Roman" w:hAnsi="Arial" w:cs="Arial"/>
          <w:sz w:val="22"/>
          <w:szCs w:val="22"/>
          <w:lang w:eastAsia="pt-BR"/>
        </w:rPr>
        <w:tab/>
      </w:r>
      <w:r>
        <w:rPr>
          <w:rFonts w:ascii="Arial" w:eastAsia="Times New Roman" w:hAnsi="Arial" w:cs="Arial"/>
          <w:sz w:val="22"/>
          <w:szCs w:val="22"/>
          <w:lang w:eastAsia="pt-BR"/>
        </w:rPr>
        <w:t>- a honra e a pudicícia no Brasil colonial</w:t>
      </w:r>
    </w:p>
    <w:p w14:paraId="6DA58CF8" w14:textId="405AE870" w:rsidR="00E8619B" w:rsidRDefault="00546F5B" w:rsidP="00546F5B">
      <w:pPr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</w:r>
      <w:r>
        <w:rPr>
          <w:rFonts w:ascii="Arial" w:eastAsia="Times New Roman" w:hAnsi="Arial" w:cs="Arial"/>
          <w:sz w:val="22"/>
          <w:szCs w:val="22"/>
          <w:lang w:eastAsia="pt-BR"/>
        </w:rPr>
        <w:tab/>
        <w:t xml:space="preserve">- </w:t>
      </w:r>
      <w:r w:rsidR="00E8619B">
        <w:rPr>
          <w:rFonts w:ascii="Arial" w:eastAsia="Times New Roman" w:hAnsi="Arial" w:cs="Arial"/>
          <w:sz w:val="22"/>
          <w:szCs w:val="22"/>
          <w:lang w:eastAsia="pt-BR"/>
        </w:rPr>
        <w:t xml:space="preserve">na penúltima aula, </w:t>
      </w:r>
      <w:r>
        <w:rPr>
          <w:rFonts w:ascii="Arial" w:eastAsia="Times New Roman" w:hAnsi="Arial" w:cs="Arial"/>
          <w:sz w:val="22"/>
          <w:szCs w:val="22"/>
          <w:lang w:eastAsia="pt-BR"/>
        </w:rPr>
        <w:t>entrega final da dissertação</w:t>
      </w:r>
      <w:r w:rsidR="00E8619B">
        <w:rPr>
          <w:rFonts w:ascii="Arial" w:eastAsia="Times New Roman" w:hAnsi="Arial" w:cs="Arial"/>
          <w:sz w:val="22"/>
          <w:szCs w:val="22"/>
          <w:lang w:eastAsia="pt-BR"/>
        </w:rPr>
        <w:t xml:space="preserve"> ou do ensaio;</w:t>
      </w:r>
    </w:p>
    <w:p w14:paraId="79ECD0CC" w14:textId="6CB5DAB9" w:rsidR="00E8619B" w:rsidRDefault="00E8619B" w:rsidP="00546F5B">
      <w:pPr>
        <w:spacing w:line="360" w:lineRule="auto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ab/>
      </w:r>
      <w:r>
        <w:rPr>
          <w:rFonts w:ascii="Arial" w:eastAsia="Times New Roman" w:hAnsi="Arial" w:cs="Arial"/>
          <w:sz w:val="22"/>
          <w:szCs w:val="22"/>
          <w:lang w:eastAsia="pt-BR"/>
        </w:rPr>
        <w:tab/>
        <w:t>- na última aula, discentes serão convidados a compartilhar com os colegas o ensaio ou a dissertação elaborada neste curso</w:t>
      </w:r>
    </w:p>
    <w:p w14:paraId="71B131CB" w14:textId="77777777" w:rsidR="00267546" w:rsidRPr="00267546" w:rsidRDefault="00267546" w:rsidP="00267546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4258B5F2" w14:textId="77777777" w:rsidR="00267546" w:rsidRPr="00267546" w:rsidRDefault="00267546" w:rsidP="00267546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76F576FE" w14:textId="0FA51D51" w:rsidR="00267546" w:rsidRPr="00267546" w:rsidRDefault="00267546" w:rsidP="00267546">
      <w:pPr>
        <w:pStyle w:val="PargrafodaLista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267546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AVALIAÇÃO</w:t>
      </w:r>
    </w:p>
    <w:p w14:paraId="0E8C921D" w14:textId="77777777" w:rsidR="00E8619B" w:rsidRDefault="00546F5B" w:rsidP="00267546">
      <w:pPr>
        <w:spacing w:line="360" w:lineRule="auto"/>
        <w:ind w:left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A avaliação consistirá em um conceito composto por duas atividades. </w:t>
      </w:r>
    </w:p>
    <w:p w14:paraId="170A2D2A" w14:textId="77777777" w:rsidR="00E8619B" w:rsidRDefault="00546F5B" w:rsidP="00267546">
      <w:pPr>
        <w:spacing w:line="360" w:lineRule="auto"/>
        <w:ind w:left="708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A primeira </w:t>
      </w:r>
      <w:r w:rsidR="00E8619B">
        <w:rPr>
          <w:rFonts w:ascii="Arial" w:eastAsia="Times New Roman" w:hAnsi="Arial" w:cs="Arial"/>
          <w:sz w:val="22"/>
          <w:szCs w:val="22"/>
          <w:lang w:eastAsia="pt-BR"/>
        </w:rPr>
        <w:t xml:space="preserve">atividade </w:t>
      </w:r>
      <w:r>
        <w:rPr>
          <w:rFonts w:ascii="Arial" w:eastAsia="Times New Roman" w:hAnsi="Arial" w:cs="Arial"/>
          <w:sz w:val="22"/>
          <w:szCs w:val="22"/>
          <w:lang w:eastAsia="pt-BR"/>
        </w:rPr>
        <w:t>será a apresentação de um seminário de leitura text</w:t>
      </w:r>
      <w:r w:rsidR="00E8619B">
        <w:rPr>
          <w:rFonts w:ascii="Arial" w:eastAsia="Times New Roman" w:hAnsi="Arial" w:cs="Arial"/>
          <w:sz w:val="22"/>
          <w:szCs w:val="22"/>
          <w:lang w:eastAsia="pt-BR"/>
        </w:rPr>
        <w:t>ual</w:t>
      </w:r>
      <w:r>
        <w:rPr>
          <w:rFonts w:ascii="Arial" w:eastAsia="Times New Roman" w:hAnsi="Arial" w:cs="Arial"/>
          <w:sz w:val="22"/>
          <w:szCs w:val="22"/>
          <w:lang w:eastAsia="pt-BR"/>
        </w:rPr>
        <w:t>, conforme orientações fornecidas pela docente no decorrer do curso. Os critérios de avaliação do seminário serão explanados em aula.</w:t>
      </w:r>
      <w:r w:rsidR="00E861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3B4AF6E8" w14:textId="49563DE3" w:rsidR="00267546" w:rsidRPr="00267546" w:rsidRDefault="00E8619B" w:rsidP="00267546">
      <w:pPr>
        <w:spacing w:line="360" w:lineRule="auto"/>
        <w:ind w:left="708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A segunda atividade de avaliação consiste em uma dissertação ou um ensaio que desenvolverá a temática do seminário apresentado. No final do curso, discentes serão convidados a compartilhar com os colegas o ensaio ou a dissertação elaborada neste curso.</w:t>
      </w:r>
    </w:p>
    <w:p w14:paraId="399BF032" w14:textId="4C6276AE" w:rsidR="00267546" w:rsidRDefault="00267546" w:rsidP="00267546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786FCB46" w14:textId="77777777" w:rsidR="00267546" w:rsidRPr="00267546" w:rsidRDefault="00267546" w:rsidP="00267546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2363A5AC" w14:textId="77777777" w:rsidR="004F1C09" w:rsidRPr="004F1C09" w:rsidRDefault="00267546" w:rsidP="009810D8">
      <w:pPr>
        <w:pStyle w:val="PargrafodaLista"/>
        <w:numPr>
          <w:ilvl w:val="0"/>
          <w:numId w:val="10"/>
        </w:numPr>
        <w:spacing w:before="120" w:line="360" w:lineRule="auto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BIBLIOGRAFIA</w:t>
      </w:r>
    </w:p>
    <w:p w14:paraId="7BCF53AB" w14:textId="27CDE4DA" w:rsidR="004F1C09" w:rsidRPr="004F1C09" w:rsidRDefault="00314C00" w:rsidP="004F1C09">
      <w:pPr>
        <w:spacing w:before="120"/>
        <w:ind w:firstLine="360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BIBLIOGRAFIA PRIMÁRIA:</w:t>
      </w:r>
    </w:p>
    <w:p w14:paraId="059E3003" w14:textId="36F73483" w:rsidR="000F765E" w:rsidRDefault="000F765E" w:rsidP="000F765E">
      <w:pPr>
        <w:pStyle w:val="PargrafodaLista"/>
        <w:spacing w:before="120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color w:val="000000"/>
        </w:rPr>
        <w:t xml:space="preserve">AGOSTINHO. </w:t>
      </w:r>
      <w:r w:rsidRPr="003C3949">
        <w:rPr>
          <w:b/>
          <w:iCs/>
          <w:color w:val="000000"/>
        </w:rPr>
        <w:t>A cidade de Deus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(três volumes). Trad. J. Dias Pereira. Lisboa: Fundação Calouste Gulbenkian, 2016, 5ª ed., p. 2538.</w:t>
      </w: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14:paraId="5BC9D123" w14:textId="3DF11735" w:rsidR="004F1C09" w:rsidRDefault="000F765E" w:rsidP="000F765E">
      <w:pPr>
        <w:pStyle w:val="PargrafodaLista"/>
        <w:spacing w:before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>_______.</w:t>
      </w:r>
      <w:r w:rsidR="004F1C09" w:rsidRPr="004F1C09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4F1C09"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Augustine: City of God</w:t>
      </w:r>
      <w:r w:rsidR="004F1C09" w:rsidRPr="004F1C09">
        <w:rPr>
          <w:rFonts w:ascii="Calibri" w:eastAsia="Times New Roman" w:hAnsi="Calibri" w:cs="Calibri"/>
          <w:color w:val="000000"/>
          <w:lang w:eastAsia="pt-BR"/>
        </w:rPr>
        <w:t>, Volume I, Books 1-3. Translated by George E. McCracken. Cambridge, MA: Harvard University Press, 1957.</w:t>
      </w:r>
    </w:p>
    <w:p w14:paraId="65142C3C" w14:textId="4B5E1912" w:rsidR="00314C00" w:rsidRDefault="00314C00" w:rsidP="000F765E">
      <w:pPr>
        <w:pStyle w:val="PargrafodaLista"/>
        <w:spacing w:before="120"/>
        <w:jc w:val="both"/>
        <w:rPr>
          <w:color w:val="000000"/>
        </w:rPr>
      </w:pPr>
      <w:r>
        <w:rPr>
          <w:color w:val="000000"/>
        </w:rPr>
        <w:t xml:space="preserve">______. </w:t>
      </w:r>
      <w:r w:rsidRPr="00314C00">
        <w:rPr>
          <w:b/>
          <w:iCs/>
          <w:color w:val="000000"/>
        </w:rPr>
        <w:t>A Mentira. Contra a mentira</w:t>
      </w:r>
      <w:r w:rsidRPr="00314C00">
        <w:rPr>
          <w:b/>
          <w:color w:val="000000"/>
        </w:rPr>
        <w:t>.</w:t>
      </w:r>
      <w:r>
        <w:rPr>
          <w:color w:val="000000"/>
        </w:rPr>
        <w:t xml:space="preserve"> Trad. e notas de Antônio Pereira Júnior, Marcos Roberto Nunes Costa e Agustinho Belmonte. São Paulo: Paulus, 2019, 1ª ed., p. 162. (Coleção Patrística 39).</w:t>
      </w:r>
    </w:p>
    <w:p w14:paraId="73F494F0" w14:textId="68243820" w:rsidR="00314C00" w:rsidRPr="004F1C09" w:rsidRDefault="00314C00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color w:val="000000"/>
        </w:rPr>
        <w:t xml:space="preserve">______. </w:t>
      </w:r>
      <w:r w:rsidRPr="00314C00">
        <w:rPr>
          <w:b/>
          <w:iCs/>
          <w:color w:val="000000"/>
        </w:rPr>
        <w:t>Confissões</w:t>
      </w:r>
      <w:r>
        <w:rPr>
          <w:color w:val="000000"/>
        </w:rPr>
        <w:t>. Trad., prefácio e notas por Lorenzo Mammì. São Paulo: Penguin Classics Companhia das Letras, 2017, 2ª ed., p. 414.</w:t>
      </w:r>
    </w:p>
    <w:p w14:paraId="68691C08" w14:textId="77777777" w:rsidR="004F1C09" w:rsidRPr="004F1C09" w:rsidRDefault="004F1C09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_______.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The City of God (De Ciuitate Dei).</w:t>
      </w: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 Edited by Boniface Ramsey. Translated by William S. Babcock. Vol. 6. The Works of Saint Augustine: A Translation for the 21st Century, I. Hyde Park, NY: New City Press, 2012.</w:t>
      </w:r>
    </w:p>
    <w:p w14:paraId="23654376" w14:textId="421C2D20" w:rsidR="004F1C09" w:rsidRDefault="004F1C09" w:rsidP="000F765E">
      <w:pPr>
        <w:pStyle w:val="PargrafodaLista"/>
        <w:spacing w:before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lastRenderedPageBreak/>
        <w:t xml:space="preserve">_______.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The City of God Against the Pagans</w:t>
      </w:r>
      <w:r w:rsidRPr="004F1C09">
        <w:rPr>
          <w:rFonts w:ascii="Calibri" w:eastAsia="Times New Roman" w:hAnsi="Calibri" w:cs="Calibri"/>
          <w:color w:val="000000"/>
          <w:lang w:eastAsia="pt-BR"/>
        </w:rPr>
        <w:t>. Translated by R. W Dyson. Cambridge Texts in the History of Political Thought. New York: Cambridge University Press, 1998.</w:t>
      </w:r>
    </w:p>
    <w:p w14:paraId="4DFC06C8" w14:textId="589CFE8C" w:rsidR="000F765E" w:rsidRDefault="000F765E" w:rsidP="000F765E">
      <w:pPr>
        <w:pStyle w:val="PargrafodaLista"/>
        <w:spacing w:before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19DE1D2C" w14:textId="77777777" w:rsidR="000F765E" w:rsidRPr="004F1C09" w:rsidRDefault="000F765E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</w:p>
    <w:p w14:paraId="7ED9D690" w14:textId="77777777" w:rsidR="004F1C09" w:rsidRPr="004F1C09" w:rsidRDefault="004F1C09" w:rsidP="000F765E">
      <w:pPr>
        <w:pStyle w:val="PargrafodaLista"/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CICERO, Marcus Tullius.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De Officiis.</w:t>
      </w: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 Tradução de Walter Miller.  Loeb  Classical  Library  XXI. Harvard University Press: Cambridge/Massachusetts, 1913/2005.</w:t>
      </w:r>
    </w:p>
    <w:p w14:paraId="06094435" w14:textId="77777777" w:rsidR="004F1C09" w:rsidRPr="004F1C09" w:rsidRDefault="004F1C09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_______.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De Natura Deorum</w:t>
      </w:r>
      <w:r w:rsidRPr="004F1C09">
        <w:rPr>
          <w:rFonts w:ascii="Calibri" w:eastAsia="Times New Roman" w:hAnsi="Calibri" w:cs="Calibri"/>
          <w:color w:val="000000"/>
          <w:lang w:eastAsia="pt-BR"/>
        </w:rPr>
        <w:t>. Tradução de Bruno Bassetto. Uberlândia: Edufu, 2016.</w:t>
      </w:r>
    </w:p>
    <w:p w14:paraId="2C8A5C54" w14:textId="77777777" w:rsidR="004F1C09" w:rsidRPr="004F1C09" w:rsidRDefault="004F1C09" w:rsidP="000F765E">
      <w:pPr>
        <w:pStyle w:val="PargrafodaLista"/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_______.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Dos deveres.</w:t>
      </w: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 Tradução de Angélica Chiappetta. Martins Fontes: São Paulo, 1999.</w:t>
      </w:r>
    </w:p>
    <w:p w14:paraId="5304C966" w14:textId="77777777" w:rsidR="004F1C09" w:rsidRPr="000F765E" w:rsidRDefault="004F1C09" w:rsidP="000F765E">
      <w:pPr>
        <w:spacing w:before="120"/>
        <w:ind w:left="360" w:firstLine="348"/>
        <w:jc w:val="both"/>
        <w:rPr>
          <w:rFonts w:ascii="Times New Roman" w:eastAsia="Times New Roman" w:hAnsi="Times New Roman" w:cs="Times New Roman"/>
          <w:lang w:eastAsia="pt-BR"/>
        </w:rPr>
      </w:pPr>
      <w:r w:rsidRPr="000F765E">
        <w:rPr>
          <w:rFonts w:ascii="Calibri" w:eastAsia="Times New Roman" w:hAnsi="Calibri" w:cs="Calibri"/>
          <w:color w:val="000000"/>
          <w:lang w:eastAsia="pt-BR"/>
        </w:rPr>
        <w:t xml:space="preserve">_______. </w:t>
      </w:r>
      <w:r w:rsidRPr="000F765E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L’oratore </w:t>
      </w:r>
      <w:r w:rsidRPr="000F765E">
        <w:rPr>
          <w:rFonts w:ascii="Calibri" w:eastAsia="Times New Roman" w:hAnsi="Calibri" w:cs="Calibri"/>
          <w:color w:val="000000"/>
          <w:lang w:eastAsia="pt-BR"/>
        </w:rPr>
        <w:t>(texto original com tradução de G. B. Pighi). Milão: Mondadori, 2004.</w:t>
      </w:r>
    </w:p>
    <w:p w14:paraId="79AF2172" w14:textId="7911F26E" w:rsidR="004F1C09" w:rsidRDefault="004F1C09" w:rsidP="000F765E">
      <w:pPr>
        <w:pStyle w:val="PargrafodaLista"/>
        <w:spacing w:before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_______.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The Nature of the Gods.</w:t>
      </w: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 Translated with an Introdution and notes by P.G. Walsh. New York: Oxford University Press. 2008. </w:t>
      </w:r>
    </w:p>
    <w:p w14:paraId="408E50CF" w14:textId="77777777" w:rsidR="000F765E" w:rsidRPr="004F1C09" w:rsidRDefault="000F765E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EA318FC" w14:textId="2EBEEFF0" w:rsidR="004F1C09" w:rsidRDefault="004F1C09" w:rsidP="000F765E">
      <w:pPr>
        <w:pStyle w:val="PargrafodaLista"/>
        <w:spacing w:before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JEROME, St.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Against Jovinian</w:t>
      </w:r>
      <w:r w:rsidRPr="004F1C09">
        <w:rPr>
          <w:rFonts w:ascii="Calibri" w:eastAsia="Times New Roman" w:hAnsi="Calibri" w:cs="Calibri"/>
          <w:color w:val="000000"/>
          <w:lang w:eastAsia="pt-BR"/>
        </w:rPr>
        <w:t>. In The Principal Works of St. Jerome. Edited by Philip Schaff. Translated by William Henry Fremantle. Christian Classics Ethereal Library, Nicene and Post-Nicene Fathers, series II, vol. 6, bk. 1, 779-853. Grand Rapids, Michigan: WM. B. Berdmans Publishing Company, 1892</w:t>
      </w:r>
    </w:p>
    <w:p w14:paraId="6E07A2C0" w14:textId="77777777" w:rsidR="000F765E" w:rsidRPr="004F1C09" w:rsidRDefault="000F765E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</w:p>
    <w:p w14:paraId="62025E13" w14:textId="77777777" w:rsidR="004F1C09" w:rsidRPr="004F1C09" w:rsidRDefault="004F1C09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LIVY.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The History of Rome</w:t>
      </w:r>
      <w:r w:rsidRPr="004F1C09">
        <w:rPr>
          <w:rFonts w:ascii="Calibri" w:eastAsia="Times New Roman" w:hAnsi="Calibri" w:cs="Calibri"/>
          <w:color w:val="000000"/>
          <w:lang w:eastAsia="pt-BR"/>
        </w:rPr>
        <w:t>: Books I and II. Translated by B. O. Foster. Vol. 114. Loeb Classical Library. Cambridge, MA: Harvard University Press, 1919.</w:t>
      </w:r>
    </w:p>
    <w:p w14:paraId="0FDFF9A3" w14:textId="77777777" w:rsidR="004F1C09" w:rsidRPr="004F1C09" w:rsidRDefault="004F1C09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_______.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The History of Rome</w:t>
      </w:r>
      <w:r w:rsidRPr="004F1C09">
        <w:rPr>
          <w:rFonts w:ascii="Calibri" w:eastAsia="Times New Roman" w:hAnsi="Calibri" w:cs="Calibri"/>
          <w:color w:val="000000"/>
          <w:lang w:eastAsia="pt-BR"/>
        </w:rPr>
        <w:t>: Books I and II. Translated by B. O. Foster. Vol. 114. Loeb Classical Library. Cambridge, MA: Harvard University Press, 1919.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 </w:t>
      </w:r>
    </w:p>
    <w:p w14:paraId="1E78A9EC" w14:textId="537B35E7" w:rsidR="004F1C09" w:rsidRDefault="004F1C09" w:rsidP="000F765E">
      <w:pPr>
        <w:pStyle w:val="PargrafodaLista"/>
        <w:spacing w:before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>_______.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The History of Rome. </w:t>
      </w:r>
      <w:r w:rsidRPr="004F1C09">
        <w:rPr>
          <w:rFonts w:ascii="Calibri" w:eastAsia="Times New Roman" w:hAnsi="Calibri" w:cs="Calibri"/>
          <w:color w:val="000000"/>
          <w:lang w:eastAsia="pt-BR"/>
        </w:rPr>
        <w:t>Ed. Benjamin Oliver Foster. Book 1. Disponível em: https://www.perseus.tufts.edu/hopper/text?doc=Perseus:text:1999.02.0152. Acesso em: 27 ago. 2019</w:t>
      </w:r>
    </w:p>
    <w:p w14:paraId="38CFB4A3" w14:textId="77777777" w:rsidR="00314C00" w:rsidRPr="004F1C09" w:rsidRDefault="00314C00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</w:p>
    <w:p w14:paraId="161B960F" w14:textId="77777777" w:rsidR="004F1C09" w:rsidRPr="004F1C09" w:rsidRDefault="004F1C09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SENECA, Lucius Annaeus. “De Consolatione Ad Marciam.” In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Seneca: Moral Essays</w:t>
      </w:r>
      <w:r w:rsidRPr="004F1C09">
        <w:rPr>
          <w:rFonts w:ascii="Calibri" w:eastAsia="Times New Roman" w:hAnsi="Calibri" w:cs="Calibri"/>
          <w:color w:val="000000"/>
          <w:lang w:eastAsia="pt-BR"/>
        </w:rPr>
        <w:t>, translated by John W. Basore, 2:2–97. The Loeb Classical Library. Cambridge, MA: Harvard University Press, 1965.</w:t>
      </w:r>
    </w:p>
    <w:p w14:paraId="3B587053" w14:textId="77777777" w:rsidR="004F1C09" w:rsidRPr="004F1C09" w:rsidRDefault="004F1C09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_______. “De Consolatione Ad Marciam.” In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Seneca: Moral Essays</w:t>
      </w:r>
      <w:r w:rsidRPr="004F1C09">
        <w:rPr>
          <w:rFonts w:ascii="Calibri" w:eastAsia="Times New Roman" w:hAnsi="Calibri" w:cs="Calibri"/>
          <w:color w:val="000000"/>
          <w:lang w:eastAsia="pt-BR"/>
        </w:rPr>
        <w:t>, translated by John W. Basore, 2:2–97. The Loeb Classical Library. Cambridge, MA: Harvard University Press, 1965.</w:t>
      </w:r>
    </w:p>
    <w:p w14:paraId="4ADA06CE" w14:textId="77777777" w:rsidR="004F1C09" w:rsidRPr="004F1C09" w:rsidRDefault="004F1C09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_______.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Declamations</w:t>
      </w:r>
      <w:r w:rsidRPr="004F1C09">
        <w:rPr>
          <w:rFonts w:ascii="Calibri" w:eastAsia="Times New Roman" w:hAnsi="Calibri" w:cs="Calibri"/>
          <w:color w:val="000000"/>
          <w:lang w:eastAsia="pt-BR"/>
        </w:rPr>
        <w:t>. Translated by Michael Winterbottom. Loeb Classical Library. Cambridge, MA: Harvard University Press, 1974.</w:t>
      </w:r>
    </w:p>
    <w:p w14:paraId="2943E0D5" w14:textId="77777777" w:rsidR="004F1C09" w:rsidRPr="004F1C09" w:rsidRDefault="004F1C09" w:rsidP="000F765E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14:paraId="155AF91B" w14:textId="77777777" w:rsidR="00314C00" w:rsidRDefault="00314C00" w:rsidP="004F1C09">
      <w:pPr>
        <w:pStyle w:val="PargrafodaLista"/>
        <w:spacing w:before="120"/>
        <w:jc w:val="both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14:paraId="3832DE54" w14:textId="11C97CB1" w:rsidR="00ED1F8A" w:rsidRPr="00ED1F8A" w:rsidRDefault="004F1C09" w:rsidP="00ED1F8A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Estudos especializados</w:t>
      </w:r>
    </w:p>
    <w:p w14:paraId="1288031A" w14:textId="77777777" w:rsidR="00ED1F8A" w:rsidRDefault="00ED1F8A" w:rsidP="00D51BF0">
      <w:pPr>
        <w:spacing w:line="360" w:lineRule="auto"/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ALGRANTI, Leila Mezan.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Honradas e devotas: mulheres da colonia; estudo sobre a condição feminina através dos conventos e recolhimentos do sudeste 1750-1822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1992. Tese de Doutorado. Universidade de São Paulo.</w:t>
      </w:r>
    </w:p>
    <w:p w14:paraId="06EBB3F9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AYOUB, Cristiane Negreiros Abbud. Agostinho contra Tito Lívio: pudor, estupro e suicídio feminino.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Revista Dissertatio de Filosofia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p. 351-370, 2020.</w:t>
      </w:r>
    </w:p>
    <w:p w14:paraId="1B63FB6D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BRACHTENDORF, Johannes. Cicero and Augustine on the Passions.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Revue d'Etudes Augustiniennes et Patristiques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v. 43, n. 2, p. 289-308, 1997.</w:t>
      </w:r>
    </w:p>
    <w:p w14:paraId="65B13F44" w14:textId="77777777" w:rsidR="00ED1F8A" w:rsidRPr="004F1C09" w:rsidRDefault="00ED1F8A" w:rsidP="000F765E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BROWN, P. Antiguidade Tardia. In: ARIES, P.; DUBY, G. (org.).  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História da vida privada: do império romano ao ano mil.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São Paulo: Companhia das Letras, 1990a, p. 225-99.</w:t>
      </w:r>
    </w:p>
    <w:p w14:paraId="5BD4F628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lastRenderedPageBreak/>
        <w:t>CAMERON, Averil. Early Christianity and the discourse of female desire. In: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Women in Ancient Societies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Palgrave Macmillan, London, 1994. p. 152-168.</w:t>
      </w:r>
    </w:p>
    <w:p w14:paraId="13F4504C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CANELA, Kelly Cristina. O estupro no direito romano.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Coleção PROPG Digital (UNESP)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2012. </w:t>
      </w:r>
    </w:p>
    <w:p w14:paraId="1EB93F70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CHAVES, Ernani Pinheiro. Do “sujeito de desejo” ao “sujeito do desejo”: Foucault leitor de Santo Agostinho.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Revista de Filosofia Aurora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v. 31, n. 52, 2019.</w:t>
      </w:r>
    </w:p>
    <w:p w14:paraId="43C37EA2" w14:textId="77777777" w:rsidR="00ED1F8A" w:rsidRDefault="00ED1F8A" w:rsidP="000F765E">
      <w:pPr>
        <w:spacing w:line="360" w:lineRule="auto"/>
        <w:ind w:left="708"/>
        <w:rPr>
          <w:color w:val="000000"/>
        </w:rPr>
      </w:pPr>
      <w:r>
        <w:rPr>
          <w:color w:val="000000"/>
        </w:rPr>
        <w:t xml:space="preserve">CIPRIANI, N. Libido. In: MAYER, C. (Ed.). </w:t>
      </w:r>
      <w:r>
        <w:rPr>
          <w:i/>
          <w:iCs/>
          <w:color w:val="000000"/>
        </w:rPr>
        <w:t>Augustinus-Lexikon</w:t>
      </w:r>
      <w:r>
        <w:rPr>
          <w:color w:val="000000"/>
        </w:rPr>
        <w:t>. Basileia: Schwabe &amp; Co. AG, 2010, pp. 981-985.</w:t>
      </w:r>
    </w:p>
    <w:p w14:paraId="3DDDE99D" w14:textId="77777777" w:rsidR="00ED1F8A" w:rsidRDefault="00ED1F8A" w:rsidP="000F765E">
      <w:pPr>
        <w:spacing w:line="360" w:lineRule="auto"/>
        <w:ind w:left="708"/>
        <w:rPr>
          <w:color w:val="000000"/>
        </w:rPr>
      </w:pPr>
      <w:r>
        <w:rPr>
          <w:color w:val="000000"/>
        </w:rPr>
        <w:t xml:space="preserve">COCHRANE, C. N. </w:t>
      </w:r>
      <w:r>
        <w:rPr>
          <w:i/>
          <w:iCs/>
          <w:color w:val="000000"/>
        </w:rPr>
        <w:t xml:space="preserve">Cristianismo e Cultura Clássica. </w:t>
      </w:r>
      <w:r>
        <w:rPr>
          <w:color w:val="000000"/>
        </w:rPr>
        <w:t>Trad. Eduardo Francisco Alves. Rio de Janeiro: Topbooks Editora, 2012, 1ª ed., p. 872.</w:t>
      </w:r>
    </w:p>
    <w:p w14:paraId="58403CF7" w14:textId="77777777" w:rsidR="00ED1F8A" w:rsidRDefault="00ED1F8A" w:rsidP="00D51BF0">
      <w:pPr>
        <w:spacing w:line="360" w:lineRule="auto"/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 SILVA, Maria Beatriz Nizza. Mulheres brancas no fim do período colonial.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cadernos pagu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n. 4, p. 75-96, 1995.</w:t>
      </w:r>
    </w:p>
    <w:p w14:paraId="336FAB98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DE SOUZA COELHO, Fabiano. Testemunho de Agostinho e Jerônimo sobre as mulheres na Antiguidade Tardia a partir de missivas cristãs.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Revista Ágora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n. 23, p. 88-100, 2016.</w:t>
      </w:r>
    </w:p>
    <w:p w14:paraId="5E16B438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DE SOUZA, Edilson Alves. O pensamento misógino medieval em Confissões, de Santo Agostinho.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ANAIS DOS ENCONTROS INTERNACIONAIS DE ESTUDOS MEDIEVAIS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-ISSN 2526-8465, v. 2, n. 1, p. 140-150, 2017.</w:t>
      </w:r>
    </w:p>
    <w:p w14:paraId="083810EE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FANTHAM, Elaine. Stuprum: public attitudes and penalties for sexual offences in Republican Rome.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Échos du monde classique: Classical views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v. 35, n. 3, p. 267-291, 1991. </w:t>
      </w:r>
    </w:p>
    <w:p w14:paraId="69EE33DB" w14:textId="77777777" w:rsidR="00ED1F8A" w:rsidRDefault="00ED1F8A" w:rsidP="000F765E">
      <w:pPr>
        <w:spacing w:line="360" w:lineRule="auto"/>
        <w:ind w:left="708"/>
        <w:rPr>
          <w:color w:val="000000"/>
        </w:rPr>
      </w:pPr>
      <w:r>
        <w:rPr>
          <w:color w:val="000000"/>
        </w:rPr>
        <w:t xml:space="preserve">FITZGERALD, A. (Ed.). </w:t>
      </w:r>
      <w:r>
        <w:rPr>
          <w:i/>
          <w:iCs/>
          <w:color w:val="000000"/>
        </w:rPr>
        <w:t>Agostinho Através dos Tempos: Uma Enciclopédia</w:t>
      </w:r>
      <w:r>
        <w:rPr>
          <w:color w:val="000000"/>
        </w:rPr>
        <w:t>. Trad. Heres Drian de O. Freitas. São Paulo: Ed. Paulus, 2018, 1ª ed.</w:t>
      </w:r>
    </w:p>
    <w:p w14:paraId="578B7BAC" w14:textId="77777777" w:rsidR="00ED1F8A" w:rsidRPr="00ED1F8A" w:rsidRDefault="00ED1F8A" w:rsidP="00ED1F8A">
      <w:pPr>
        <w:pStyle w:val="PargrafodaLista"/>
        <w:spacing w:before="120"/>
        <w:jc w:val="both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FOUCAULT, Michel.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 xml:space="preserve"> </w:t>
      </w:r>
      <w:r w:rsidRPr="00ED1F8A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História da sexualidade: As confissões da carne (Vol. 4)</w:t>
      </w:r>
      <w:r w:rsidRPr="00ED1F8A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Editora Paz e Terra, 2020.</w:t>
      </w:r>
    </w:p>
    <w:p w14:paraId="1D14614F" w14:textId="77777777" w:rsidR="00ED1F8A" w:rsidRDefault="00ED1F8A" w:rsidP="00D51BF0">
      <w:pPr>
        <w:spacing w:line="360" w:lineRule="auto"/>
        <w:ind w:left="708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FRATESCHI, Yara. Filosofia e humanidades: as blindagens de uma historiografia sexista.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discurso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52, n. 1, p. 28–44-28–44, 2022.</w:t>
      </w:r>
    </w:p>
    <w:p w14:paraId="31E5D5CA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GARDNER, Jane F.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Women in Roman law and society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Routledge, 2008. </w:t>
      </w:r>
    </w:p>
    <w:p w14:paraId="227FD0E3" w14:textId="77777777" w:rsidR="00ED1F8A" w:rsidRDefault="00ED1F8A" w:rsidP="00D51BF0">
      <w:pPr>
        <w:spacing w:line="360" w:lineRule="auto"/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JAFFARY, N. E.; MANGANM J. E.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4F1C0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Women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Colonial Latin America, 1526 to 1806: texts and contexts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Hackett Publishing, 2018.</w:t>
      </w:r>
    </w:p>
    <w:p w14:paraId="1C7D5F05" w14:textId="77777777" w:rsidR="00ED1F8A" w:rsidRDefault="00ED1F8A" w:rsidP="00D51BF0">
      <w:pPr>
        <w:spacing w:line="360" w:lineRule="auto"/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JOHANSON, Izilda Cristina. De objeto a sujeito.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Estudos Feministas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28, n. 1, p. 1-11, 2020.</w:t>
      </w:r>
    </w:p>
    <w:p w14:paraId="10B31265" w14:textId="77777777" w:rsidR="00ED1F8A" w:rsidRDefault="00ED1F8A" w:rsidP="00D51BF0">
      <w:pPr>
        <w:spacing w:line="360" w:lineRule="auto"/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JOHANSON, Izilda Cristina. Por uma perspectiva feminista em história da filosofia.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Ideação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1, n. 42, p. 233-252, 2020.</w:t>
      </w:r>
    </w:p>
    <w:p w14:paraId="40D55C6C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JOHNSON, Emma. Patriarchal Power in the Roman Republic: Ideologies and Realites of the Paterfamilias.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Hirundo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v. 5, p. 99-117, 2007.</w:t>
      </w:r>
    </w:p>
    <w:p w14:paraId="544769C2" w14:textId="77777777" w:rsidR="00ED1F8A" w:rsidRPr="004F1C09" w:rsidRDefault="00ED1F8A" w:rsidP="00314C00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KASTER, Robert A. 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Emotion, restraint, and community in ancient Rome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Oxford University Press, 2005. </w:t>
      </w:r>
    </w:p>
    <w:p w14:paraId="52B11F1A" w14:textId="77777777" w:rsidR="00ED1F8A" w:rsidRPr="004F1C09" w:rsidRDefault="00ED1F8A" w:rsidP="00314C00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KASTER, Robert A. The shame of the Romans.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Transactions of the American Philological Association (1974-)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v. 127, p. 1-19, 1997.</w:t>
      </w:r>
    </w:p>
    <w:p w14:paraId="70030A4D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KAUFMAN, Peter Iver. Augustine, martyrs, and misery.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Church history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v. 63, n. 1, p. 1-14, 1994.</w:t>
      </w:r>
    </w:p>
    <w:p w14:paraId="3FAF0E5B" w14:textId="77777777" w:rsidR="00ED1F8A" w:rsidRPr="004F1C09" w:rsidRDefault="00ED1F8A" w:rsidP="00314C00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lastRenderedPageBreak/>
        <w:t>LANGLANDS, Rebecca et al.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Sexual morality in ancient Rome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Cambridge University Press, 2006.</w:t>
      </w:r>
    </w:p>
    <w:p w14:paraId="39C67F91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LAUSBERG, Heinrich; FERNANDES, Raul Miguel Rosado.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Elementos de retórica literária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Lisboa: Fundação Calouste Gulbenkian, 1982.</w:t>
      </w:r>
    </w:p>
    <w:p w14:paraId="0F18B499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LÓPEZ, Cándida Martínez. Matronage: A useful concept for understanding the involvement of women in the public sphere in ancient societies. In: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Engendering Transnational Transgressions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Routledge, 2020. p. 14-29.</w:t>
      </w:r>
    </w:p>
    <w:p w14:paraId="41D4F9AB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MCHARDY, Fiona; MARSHALL, Eireann (Ed.).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Women's influence on classical civilization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London and New York: Routledge, 2004.</w:t>
      </w:r>
    </w:p>
    <w:p w14:paraId="227AF5C8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MILES, R. Margaret. “From rape to resurrection  sin, sexual difference, and politics”. In:  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Augustine’s City of God</w:t>
      </w:r>
      <w:r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.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 A Critical Guide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Cambridge University Press, 2014, pp. 75-92</w:t>
      </w:r>
    </w:p>
    <w:p w14:paraId="6233B945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MUELLER, Hans-Friedrich.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Roman Religion in Valerius Maximus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Routledge, 2002.</w:t>
      </w:r>
    </w:p>
    <w:p w14:paraId="75576E12" w14:textId="77777777" w:rsidR="00ED1F8A" w:rsidRDefault="00ED1F8A" w:rsidP="00D51BF0">
      <w:pPr>
        <w:spacing w:line="360" w:lineRule="auto"/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MYSCOFSKI, Carole A. Imagining cannibals: European encounters with native Brazilian women.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History of religions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47, n. 2/3, p. 142-155, 2007.</w:t>
      </w:r>
    </w:p>
    <w:p w14:paraId="362698DC" w14:textId="77777777" w:rsidR="00ED1F8A" w:rsidRDefault="00ED1F8A" w:rsidP="00D51BF0">
      <w:pPr>
        <w:spacing w:line="360" w:lineRule="auto"/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MYSCOFSKI, Carole A. Women's Religious Role in Brazil: A History of Limitations.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Journal of Feminist Studies in Religion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1, n. 2, p. 43-57, 1985.</w:t>
      </w:r>
    </w:p>
    <w:p w14:paraId="01C2EE31" w14:textId="77777777" w:rsidR="00ED1F8A" w:rsidRDefault="00ED1F8A" w:rsidP="00D51BF0">
      <w:pPr>
        <w:spacing w:line="360" w:lineRule="auto"/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MYSCOFSKI, Carole 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Amazons, wives, nuns, and witches: Women and the Catholic church in colonial Brazil, 1500-1822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University of Texas Press, 2013.</w:t>
      </w:r>
    </w:p>
    <w:p w14:paraId="4870F638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O’DALY, G.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Augustine’s City of God: a reader’s guide.</w:t>
      </w: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 New York: Oxford University Press, 2009. </w:t>
      </w:r>
    </w:p>
    <w:p w14:paraId="30A290CC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PHANG, Sara Elise.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Roman military service: ideologies of discipline in the late Republic and early Principate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Cambridge University Press, 2008.</w:t>
      </w:r>
    </w:p>
    <w:p w14:paraId="67999C67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RABINOWITZ, Nancy Sorkin; RICHLIN, Amy.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Feminist theory and the classics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Routledge, 2014. </w:t>
      </w:r>
    </w:p>
    <w:p w14:paraId="4CCC61B2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SHAW, Brent. 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Sacred Violence: African Christians and Sectarian Hatred in the Age of Augustine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Cambridge: Cambridge University Press, 2011.</w:t>
      </w:r>
    </w:p>
    <w:p w14:paraId="68D356BC" w14:textId="77777777" w:rsidR="00ED1F8A" w:rsidRDefault="00ED1F8A" w:rsidP="004F1C09">
      <w:pPr>
        <w:pStyle w:val="PargrafodaLista"/>
        <w:spacing w:before="12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SIQUEIRA, Silvana Márcia Alves.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 mulher na visão de Tertuliano, Jerônimo e Agostinho (séc. II-V dC). 2004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2004. Tese de Doutorado. Tese (Doutorado da Faculdade de Ciências e Letras de Assis)-Universidade Estadual Paulista), Assis.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 </w:t>
      </w:r>
    </w:p>
    <w:p w14:paraId="0EB3615C" w14:textId="77777777" w:rsidR="00ED1F8A" w:rsidRDefault="00ED1F8A" w:rsidP="00D51BF0">
      <w:pPr>
        <w:spacing w:line="360" w:lineRule="auto"/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SOCOLOW, Susan Migden.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The women of colonial Latin America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Cambridge University Press, 2015.</w:t>
      </w:r>
    </w:p>
    <w:p w14:paraId="12AAD1F4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STARK, Judith Chelius (Ed.).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Feminist interpretations of Augustine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Penn State Press, 2010.</w:t>
      </w:r>
    </w:p>
    <w:p w14:paraId="3E4534B7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THOMAS, Jean-François. " Pudicitia"," impudicitia"," impudentia" dans leurs relations avec" pudor": étude sémantique.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Revista de estudios latinos: RELat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n. 5, p. 53-74, 2005.</w:t>
      </w:r>
    </w:p>
    <w:p w14:paraId="0004175E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THOMPSON, Jennifer J. ‘Accept This Twofold Consolation, You Faint-Hearted Creatures’: St. Augustine and Contemporary Definitions of Rape.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Studies in Media and Information Literacy Education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v. 4, n. 3, 2004.</w:t>
      </w:r>
    </w:p>
    <w:p w14:paraId="1DEFAAEC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WEAVER, F. Ellen; LAPORTE, Jean. Augustine and women: relationships and teachings. 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Augustinian Studies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, v. 12, p. 115-131, 1981.</w:t>
      </w:r>
    </w:p>
    <w:p w14:paraId="0E7CE9C4" w14:textId="77777777" w:rsidR="00ED1F8A" w:rsidRPr="00ED1F8A" w:rsidRDefault="00ED1F8A" w:rsidP="00ED1F8A">
      <w:pPr>
        <w:pStyle w:val="PargrafodaLista"/>
        <w:spacing w:before="120"/>
        <w:jc w:val="both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>WEBB,</w:t>
      </w:r>
      <w:r w:rsidRPr="004F1C09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 xml:space="preserve"> Melanie Gibson</w:t>
      </w:r>
      <w:r w:rsidRPr="004F1C09">
        <w:rPr>
          <w:rFonts w:ascii="Calibri" w:eastAsia="Times New Roman" w:hAnsi="Calibri" w:cs="Calibri"/>
          <w:color w:val="000000"/>
          <w:lang w:eastAsia="pt-BR"/>
        </w:rPr>
        <w:t>.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ED1F8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Rape and its aftermath in Augustine’s City of God. </w:t>
      </w:r>
      <w:r w:rsidRPr="00ED1F8A">
        <w:rPr>
          <w:rFonts w:ascii="Calibri" w:eastAsia="Times New Roman" w:hAnsi="Calibri" w:cs="Calibri"/>
          <w:color w:val="000000"/>
          <w:lang w:eastAsia="pt-BR"/>
        </w:rPr>
        <w:t>Dissertation (Doctor of Philosophy) – Faculty of Princeton Theological Seminary, Princeton, NJ, 2016.</w:t>
      </w:r>
    </w:p>
    <w:p w14:paraId="6920C95C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Wetzel, James (ed.). </w:t>
      </w:r>
      <w:r w:rsidRPr="004F1C09">
        <w:rPr>
          <w:rFonts w:ascii="Calibri" w:eastAsia="Times New Roman" w:hAnsi="Calibri" w:cs="Calibri"/>
          <w:b/>
          <w:bCs/>
          <w:color w:val="000000"/>
          <w:lang w:eastAsia="pt-BR"/>
        </w:rPr>
        <w:t>Augustine’s City of God: A Critical Guide.</w:t>
      </w: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 New York: Cambridge University Press, 2012.</w:t>
      </w:r>
    </w:p>
    <w:p w14:paraId="29D9C15D" w14:textId="77777777" w:rsidR="00ED1F8A" w:rsidRPr="004F1C09" w:rsidRDefault="00ED1F8A" w:rsidP="004F1C09">
      <w:pPr>
        <w:pStyle w:val="PargrafodaLista"/>
        <w:spacing w:before="120"/>
        <w:jc w:val="both"/>
        <w:rPr>
          <w:rFonts w:ascii="Times New Roman" w:eastAsia="Times New Roman" w:hAnsi="Times New Roman" w:cs="Times New Roman"/>
          <w:lang w:eastAsia="pt-BR"/>
        </w:rPr>
      </w:pPr>
      <w:r w:rsidRPr="004F1C09">
        <w:rPr>
          <w:rFonts w:ascii="Calibri" w:eastAsia="Times New Roman" w:hAnsi="Calibri" w:cs="Calibri"/>
          <w:color w:val="000000"/>
          <w:lang w:eastAsia="pt-BR"/>
        </w:rPr>
        <w:t>Wetzel, James</w:t>
      </w:r>
      <w:r>
        <w:rPr>
          <w:rFonts w:ascii="Calibri" w:eastAsia="Times New Roman" w:hAnsi="Calibri" w:cs="Calibri"/>
          <w:color w:val="000000"/>
          <w:lang w:eastAsia="pt-BR"/>
        </w:rPr>
        <w:t xml:space="preserve">. </w:t>
      </w:r>
      <w:r w:rsidRPr="004F1C09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4F1C0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Augustine and the Limits of Virtue</w:t>
      </w:r>
      <w:r w:rsidRPr="004F1C09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 Cambridge University Press, 1992.</w:t>
      </w:r>
    </w:p>
    <w:p w14:paraId="21DBD8B1" w14:textId="77777777" w:rsidR="00ED1F8A" w:rsidRDefault="00ED1F8A" w:rsidP="00314C00">
      <w:pPr>
        <w:spacing w:line="360" w:lineRule="auto"/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14C00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WRIGHT, F. A. Feminism in greek literature from Homer to Aristote.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14C00">
        <w:rPr>
          <w:rFonts w:ascii="Arial" w:hAnsi="Arial" w:cs="Arial"/>
          <w:color w:val="222222"/>
          <w:sz w:val="20"/>
          <w:szCs w:val="20"/>
          <w:shd w:val="clear" w:color="auto" w:fill="FFFFFF"/>
        </w:rPr>
        <w:t>Londres: George Routledge &amp; Sons, 1923.</w:t>
      </w:r>
    </w:p>
    <w:p w14:paraId="496A1484" w14:textId="77777777" w:rsidR="000F765E" w:rsidRPr="00DF67CF" w:rsidRDefault="000F765E" w:rsidP="00D51BF0">
      <w:pPr>
        <w:spacing w:line="360" w:lineRule="auto"/>
        <w:ind w:left="708"/>
      </w:pPr>
      <w:bookmarkStart w:id="0" w:name="_GoBack"/>
      <w:bookmarkEnd w:id="0"/>
    </w:p>
    <w:sectPr w:rsidR="000F765E" w:rsidRPr="00DF67CF" w:rsidSect="008D7176">
      <w:headerReference w:type="default" r:id="rId7"/>
      <w:footerReference w:type="default" r:id="rId8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600FC" w14:textId="77777777" w:rsidR="004D6D28" w:rsidRDefault="004D6D28" w:rsidP="00267546">
      <w:r>
        <w:separator/>
      </w:r>
    </w:p>
  </w:endnote>
  <w:endnote w:type="continuationSeparator" w:id="0">
    <w:p w14:paraId="4E726E7F" w14:textId="77777777" w:rsidR="004D6D28" w:rsidRDefault="004D6D28" w:rsidP="0026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213350"/>
      <w:docPartObj>
        <w:docPartGallery w:val="Page Numbers (Bottom of Page)"/>
        <w:docPartUnique/>
      </w:docPartObj>
    </w:sdtPr>
    <w:sdtEndPr/>
    <w:sdtContent>
      <w:p w14:paraId="69C037FB" w14:textId="0A54803F" w:rsidR="00314C00" w:rsidRDefault="00314C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6A5">
          <w:rPr>
            <w:noProof/>
          </w:rPr>
          <w:t>7</w:t>
        </w:r>
        <w:r>
          <w:fldChar w:fldCharType="end"/>
        </w:r>
      </w:p>
    </w:sdtContent>
  </w:sdt>
  <w:p w14:paraId="3863FA1F" w14:textId="2F3A46F0" w:rsidR="00DF67CF" w:rsidRDefault="00DF67CF" w:rsidP="00DF67C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83D00" w14:textId="77777777" w:rsidR="004D6D28" w:rsidRDefault="004D6D28" w:rsidP="00267546">
      <w:r>
        <w:separator/>
      </w:r>
    </w:p>
  </w:footnote>
  <w:footnote w:type="continuationSeparator" w:id="0">
    <w:p w14:paraId="51D3444B" w14:textId="77777777" w:rsidR="004D6D28" w:rsidRDefault="004D6D28" w:rsidP="0026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F746D" w14:textId="6C0BAD1D" w:rsidR="00267546" w:rsidRDefault="00477C9C" w:rsidP="00DF67CF">
    <w:pPr>
      <w:pStyle w:val="Cabealho"/>
      <w:tabs>
        <w:tab w:val="clear" w:pos="8504"/>
        <w:tab w:val="right" w:pos="9740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FD1DCF" wp14:editId="75E9C380">
          <wp:simplePos x="0" y="0"/>
          <wp:positionH relativeFrom="column">
            <wp:posOffset>-771525</wp:posOffset>
          </wp:positionH>
          <wp:positionV relativeFrom="paragraph">
            <wp:posOffset>-440690</wp:posOffset>
          </wp:positionV>
          <wp:extent cx="7608570" cy="1085850"/>
          <wp:effectExtent l="0" t="0" r="0" b="0"/>
          <wp:wrapSquare wrapText="bothSides"/>
          <wp:docPr id="5" name="Imagem 5" descr="Uma imagem contendo 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748"/>
    <w:multiLevelType w:val="hybridMultilevel"/>
    <w:tmpl w:val="FE580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4082"/>
    <w:multiLevelType w:val="hybridMultilevel"/>
    <w:tmpl w:val="FB7EB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7B2A"/>
    <w:multiLevelType w:val="hybridMultilevel"/>
    <w:tmpl w:val="9D74E7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32194"/>
    <w:multiLevelType w:val="hybridMultilevel"/>
    <w:tmpl w:val="B8E00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719D2"/>
    <w:multiLevelType w:val="hybridMultilevel"/>
    <w:tmpl w:val="129093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16763"/>
    <w:multiLevelType w:val="hybridMultilevel"/>
    <w:tmpl w:val="0C08E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C72A7"/>
    <w:multiLevelType w:val="hybridMultilevel"/>
    <w:tmpl w:val="8EFE4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3376F"/>
    <w:multiLevelType w:val="hybridMultilevel"/>
    <w:tmpl w:val="F51A7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64FEB"/>
    <w:multiLevelType w:val="hybridMultilevel"/>
    <w:tmpl w:val="A89CF430"/>
    <w:lvl w:ilvl="0" w:tplc="2D5A28C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68526B12"/>
    <w:multiLevelType w:val="hybridMultilevel"/>
    <w:tmpl w:val="C4F45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A8"/>
    <w:rsid w:val="0001693C"/>
    <w:rsid w:val="000561A0"/>
    <w:rsid w:val="00064B2B"/>
    <w:rsid w:val="000B2701"/>
    <w:rsid w:val="000B3813"/>
    <w:rsid w:val="000F765E"/>
    <w:rsid w:val="0016021A"/>
    <w:rsid w:val="00162F78"/>
    <w:rsid w:val="001679B0"/>
    <w:rsid w:val="00210E91"/>
    <w:rsid w:val="00257FC4"/>
    <w:rsid w:val="00262075"/>
    <w:rsid w:val="00267546"/>
    <w:rsid w:val="002A4141"/>
    <w:rsid w:val="002D0A0D"/>
    <w:rsid w:val="00314C00"/>
    <w:rsid w:val="00331590"/>
    <w:rsid w:val="00350D98"/>
    <w:rsid w:val="0035252B"/>
    <w:rsid w:val="00366C8B"/>
    <w:rsid w:val="003C3949"/>
    <w:rsid w:val="003D3C90"/>
    <w:rsid w:val="003F0F1E"/>
    <w:rsid w:val="00411F2E"/>
    <w:rsid w:val="00437213"/>
    <w:rsid w:val="00477C9C"/>
    <w:rsid w:val="004D6D28"/>
    <w:rsid w:val="004E06B9"/>
    <w:rsid w:val="004F1C09"/>
    <w:rsid w:val="00526A73"/>
    <w:rsid w:val="005316CD"/>
    <w:rsid w:val="00546F5B"/>
    <w:rsid w:val="00674798"/>
    <w:rsid w:val="006A0F50"/>
    <w:rsid w:val="007308F0"/>
    <w:rsid w:val="00746413"/>
    <w:rsid w:val="00757A2F"/>
    <w:rsid w:val="00770DBB"/>
    <w:rsid w:val="00796A4E"/>
    <w:rsid w:val="007A6433"/>
    <w:rsid w:val="007A66BE"/>
    <w:rsid w:val="007F26A5"/>
    <w:rsid w:val="00811CA8"/>
    <w:rsid w:val="00845669"/>
    <w:rsid w:val="00872318"/>
    <w:rsid w:val="008D7102"/>
    <w:rsid w:val="008D7176"/>
    <w:rsid w:val="009A3986"/>
    <w:rsid w:val="009E1858"/>
    <w:rsid w:val="00A16890"/>
    <w:rsid w:val="00A206F8"/>
    <w:rsid w:val="00AD207B"/>
    <w:rsid w:val="00B51196"/>
    <w:rsid w:val="00B77D3F"/>
    <w:rsid w:val="00B80AC1"/>
    <w:rsid w:val="00B80FFF"/>
    <w:rsid w:val="00B9250D"/>
    <w:rsid w:val="00C01F3B"/>
    <w:rsid w:val="00C23C5C"/>
    <w:rsid w:val="00C54811"/>
    <w:rsid w:val="00C61067"/>
    <w:rsid w:val="00C833EE"/>
    <w:rsid w:val="00C85CDB"/>
    <w:rsid w:val="00C93B55"/>
    <w:rsid w:val="00CC41B8"/>
    <w:rsid w:val="00CE7B00"/>
    <w:rsid w:val="00D14480"/>
    <w:rsid w:val="00D304AE"/>
    <w:rsid w:val="00D51BF0"/>
    <w:rsid w:val="00DB2BE7"/>
    <w:rsid w:val="00DF67CF"/>
    <w:rsid w:val="00E26666"/>
    <w:rsid w:val="00E35500"/>
    <w:rsid w:val="00E8619B"/>
    <w:rsid w:val="00E93120"/>
    <w:rsid w:val="00ED1F8A"/>
    <w:rsid w:val="00ED2CAA"/>
    <w:rsid w:val="00F027C3"/>
    <w:rsid w:val="00F55738"/>
    <w:rsid w:val="00FC3670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42C56"/>
  <w14:defaultImageDpi w14:val="32767"/>
  <w15:chartTrackingRefBased/>
  <w15:docId w15:val="{AFCFC742-525A-6647-B25F-864FEE7E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F1C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2F78"/>
    <w:pPr>
      <w:ind w:left="720"/>
      <w:contextualSpacing/>
    </w:pPr>
  </w:style>
  <w:style w:type="table" w:styleId="Tabelacomgrade">
    <w:name w:val="Table Grid"/>
    <w:basedOn w:val="Tabelanormal"/>
    <w:uiPriority w:val="39"/>
    <w:rsid w:val="000B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75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7546"/>
  </w:style>
  <w:style w:type="paragraph" w:styleId="Rodap">
    <w:name w:val="footer"/>
    <w:basedOn w:val="Normal"/>
    <w:link w:val="RodapChar"/>
    <w:uiPriority w:val="99"/>
    <w:unhideWhenUsed/>
    <w:rsid w:val="002675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7546"/>
  </w:style>
  <w:style w:type="character" w:customStyle="1" w:styleId="Ttulo1Char">
    <w:name w:val="Título 1 Char"/>
    <w:basedOn w:val="Fontepargpadro"/>
    <w:link w:val="Ttulo1"/>
    <w:uiPriority w:val="9"/>
    <w:rsid w:val="004F1C0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F1C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Bressiani</dc:creator>
  <cp:keywords/>
  <dc:description/>
  <cp:lastModifiedBy>Cris</cp:lastModifiedBy>
  <cp:revision>2</cp:revision>
  <dcterms:created xsi:type="dcterms:W3CDTF">2023-01-16T12:57:00Z</dcterms:created>
  <dcterms:modified xsi:type="dcterms:W3CDTF">2023-01-16T12:57:00Z</dcterms:modified>
</cp:coreProperties>
</file>